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EB7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50" w:afterAutospacing="0" w:line="27"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附录</w:t>
      </w:r>
    </w:p>
    <w:p w14:paraId="1839F7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50" w:afterAutospacing="0" w:line="27" w:lineRule="atLeast"/>
        <w:ind w:left="0" w:right="0" w:firstLine="0"/>
        <w:jc w:val="center"/>
        <w:rPr>
          <w:rFonts w:hint="eastAsia"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sz w:val="32"/>
          <w:szCs w:val="32"/>
          <w:bdr w:val="none" w:color="auto" w:sz="0" w:space="0"/>
          <w:shd w:val="clear" w:fill="FFFFFF"/>
        </w:rPr>
        <w:t>术语定义</w:t>
      </w:r>
    </w:p>
    <w:p w14:paraId="2C4595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shd w:val="clear" w:fill="FFFFFF"/>
        </w:rPr>
        <w:t>本附录是《企业可持续披露准则第1号——气候（试行）》的组成部分，与本准则其他部分具有同等效力。</w:t>
      </w:r>
    </w:p>
    <w:tbl>
      <w:tblPr>
        <w:tblW w:w="0" w:type="auto"/>
        <w:jc w:val="center"/>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Layout w:type="autofit"/>
        <w:tblCellMar>
          <w:top w:w="15" w:type="dxa"/>
          <w:left w:w="15" w:type="dxa"/>
          <w:bottom w:w="15" w:type="dxa"/>
          <w:right w:w="15" w:type="dxa"/>
        </w:tblCellMar>
      </w:tblPr>
      <w:tblGrid>
        <w:gridCol w:w="1605"/>
        <w:gridCol w:w="8023"/>
      </w:tblGrid>
      <w:tr w14:paraId="6B0ADB11">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442" w:hRule="atLeast"/>
          <w:jc w:val="center"/>
        </w:trPr>
        <w:tc>
          <w:tcPr>
            <w:tcW w:w="1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4B30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气候相关风险</w:t>
            </w:r>
          </w:p>
        </w:tc>
        <w:tc>
          <w:tcPr>
            <w:tcW w:w="8023" w:type="dxa"/>
            <w:tcBorders>
              <w:top w:val="single" w:color="auto" w:sz="8" w:space="0"/>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7B21A5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指气候变化对企业可能产生的消极影响，分为气候相关物理风险和气候相关转型风险。</w:t>
            </w:r>
          </w:p>
        </w:tc>
      </w:tr>
      <w:tr w14:paraId="34C7F4FB">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201" w:hRule="atLeast"/>
          <w:jc w:val="center"/>
        </w:trPr>
        <w:tc>
          <w:tcPr>
            <w:tcW w:w="1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D0C9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气候相关机遇</w:t>
            </w:r>
          </w:p>
        </w:tc>
        <w:tc>
          <w:tcPr>
            <w:tcW w:w="8023"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5BFD90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指气候变化对企业可能产生的积极影响，减缓气候变化和适应气候变化的措施可以为企业创造气候相关机遇。</w:t>
            </w:r>
          </w:p>
        </w:tc>
      </w:tr>
      <w:tr w14:paraId="6DF573A7">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205" w:hRule="atLeast"/>
          <w:jc w:val="center"/>
        </w:trPr>
        <w:tc>
          <w:tcPr>
            <w:tcW w:w="1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37D4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气候相关影响</w:t>
            </w:r>
          </w:p>
        </w:tc>
        <w:tc>
          <w:tcPr>
            <w:tcW w:w="8023"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7EDF36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指企业活动（包括与之相关的价值链活动，下同）对气候变化产生的影响，包括实际影响或者可预见的潜在影响、积极影响或者消极影响。</w:t>
            </w:r>
          </w:p>
        </w:tc>
      </w:tr>
      <w:tr w14:paraId="4C6D71E6">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2223" w:hRule="atLeast"/>
          <w:jc w:val="center"/>
        </w:trPr>
        <w:tc>
          <w:tcPr>
            <w:tcW w:w="1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37E8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气候相关</w:t>
            </w:r>
          </w:p>
          <w:p w14:paraId="0080BE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物理风险</w:t>
            </w:r>
          </w:p>
        </w:tc>
        <w:tc>
          <w:tcPr>
            <w:tcW w:w="8023"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10F94F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指由气候变化导致的风险，可能由事件驱动（急性物理风险），也可能由气候模式的长期转变导致（慢性物理风险）。急性物理风险源于与天气相关的事件，如风暴、洪水、干旱或者热浪。慢性物理风险源于气候模式的长期转变，包括降水和温度的变化可能导致海平面上升、水资源减少、生物多样性丧失和土壤生产力变化。这种风险可能对企业产生财务影响，如资产直接损毁产生的成本或者由于供应链中断产生的间接影响。企业的经营成果也可能受到以下因素的影响：水资源供应、来源和质量的变化；影响企业场所、运营、供应链、运输需求和员工健康安全的极端温度变化。</w:t>
            </w:r>
          </w:p>
        </w:tc>
      </w:tr>
      <w:tr w14:paraId="55F6FE3F">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90" w:hRule="atLeast"/>
          <w:jc w:val="center"/>
        </w:trPr>
        <w:tc>
          <w:tcPr>
            <w:tcW w:w="1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E72A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气候相关</w:t>
            </w:r>
          </w:p>
          <w:p w14:paraId="574C76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转型风险</w:t>
            </w:r>
          </w:p>
        </w:tc>
        <w:tc>
          <w:tcPr>
            <w:tcW w:w="8023"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40542E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指向低碳经济转型带来的风险。转型风险包括政策、法律、技术、市场和声誉风险。这些风险可能对企业产生财务影响，例如由于新的或者修订的气候相关法规而增加经营成本或者资产减值。消费者需求的转变以及新技术的开发和应用也可能影响该企业的经营成果。</w:t>
            </w:r>
          </w:p>
        </w:tc>
      </w:tr>
      <w:tr w14:paraId="733F3C66">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90" w:hRule="atLeast"/>
          <w:jc w:val="center"/>
        </w:trPr>
        <w:tc>
          <w:tcPr>
            <w:tcW w:w="1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EFFF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温室气体</w:t>
            </w:r>
          </w:p>
        </w:tc>
        <w:tc>
          <w:tcPr>
            <w:tcW w:w="8023"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6615E1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指《京都议定书》列明的7种温室气体，包括二氧化碳（CO2）、甲烷（CH4）、氧化亚氮（N2O）、氢氟碳化物（HFCs）、全氟化碳（PFCs）、六氟化硫（SF6）、三氟化氮（NF3）。</w:t>
            </w:r>
          </w:p>
        </w:tc>
      </w:tr>
      <w:tr w14:paraId="1C9994D4">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90" w:hRule="atLeast"/>
          <w:jc w:val="center"/>
        </w:trPr>
        <w:tc>
          <w:tcPr>
            <w:tcW w:w="1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DF33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气候转型计划</w:t>
            </w:r>
          </w:p>
        </w:tc>
        <w:tc>
          <w:tcPr>
            <w:tcW w:w="8023"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3C4DB4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指企业为实现低碳经济转型而制定的系统性战略框架，作为整体战略的一个方面，旨在通过科学路径、可量化目标和具体行动（包括温室气体减排行动），协调短期经营决策与长期气候目标（如《巴黎协定》</w:t>
            </w:r>
            <w:r>
              <w:rPr>
                <w:rFonts w:hint="eastAsia" w:ascii="仿宋" w:hAnsi="仿宋" w:eastAsia="仿宋" w:cs="仿宋"/>
                <w:i w:val="0"/>
                <w:iCs w:val="0"/>
                <w:caps w:val="0"/>
                <w:color w:val="333333"/>
                <w:spacing w:val="-20"/>
                <w:kern w:val="0"/>
                <w:sz w:val="21"/>
                <w:szCs w:val="21"/>
                <w:bdr w:val="none" w:color="auto" w:sz="0" w:space="0"/>
                <w:lang w:val="en-US" w:eastAsia="zh-CN" w:bidi="ar"/>
              </w:rPr>
              <w:t>1.5</w:t>
            </w:r>
            <w:r>
              <w:rPr>
                <w:rFonts w:hint="eastAsia" w:ascii="仿宋" w:hAnsi="仿宋" w:eastAsia="仿宋" w:cs="仿宋"/>
                <w:i w:val="0"/>
                <w:iCs w:val="0"/>
                <w:caps w:val="0"/>
                <w:color w:val="333333"/>
                <w:spacing w:val="-34"/>
                <w:kern w:val="0"/>
                <w:sz w:val="21"/>
                <w:szCs w:val="21"/>
                <w:bdr w:val="none" w:color="auto" w:sz="0" w:space="0"/>
                <w:lang w:val="en-US" w:eastAsia="zh-CN" w:bidi="ar"/>
              </w:rPr>
              <w:t>°C</w:t>
            </w:r>
            <w:r>
              <w:rPr>
                <w:rFonts w:hint="eastAsia" w:ascii="仿宋" w:hAnsi="仿宋" w:eastAsia="仿宋" w:cs="仿宋"/>
                <w:i w:val="0"/>
                <w:iCs w:val="0"/>
                <w:caps w:val="0"/>
                <w:color w:val="333333"/>
                <w:spacing w:val="-2"/>
                <w:kern w:val="0"/>
                <w:sz w:val="21"/>
                <w:szCs w:val="21"/>
                <w:bdr w:val="none" w:color="auto" w:sz="0" w:space="0"/>
                <w:lang w:val="en-US" w:eastAsia="zh-CN" w:bidi="ar"/>
              </w:rPr>
              <w:t>温控目标），同时满足国家法律法规、战略规划及利益相关方预期。</w:t>
            </w:r>
          </w:p>
        </w:tc>
      </w:tr>
      <w:tr w14:paraId="01B3615F">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90" w:hRule="atLeast"/>
          <w:jc w:val="center"/>
        </w:trPr>
        <w:tc>
          <w:tcPr>
            <w:tcW w:w="1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F46F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气候韧性</w:t>
            </w:r>
          </w:p>
        </w:tc>
        <w:tc>
          <w:tcPr>
            <w:tcW w:w="8023"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6984E2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指企业针对气候相关变化、发展或者不确定性做出调整的能力，即企业管理气候相关风险和从气候相关机遇中受益的能力、应对及适应气候相关物理风险和气候相关转型风险的能力，包括企业对气候相关变化、发展和不确定性的战略韧性和运营韧性。</w:t>
            </w:r>
          </w:p>
        </w:tc>
      </w:tr>
      <w:tr w14:paraId="42529D59">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707" w:hRule="atLeast"/>
          <w:jc w:val="center"/>
        </w:trPr>
        <w:tc>
          <w:tcPr>
            <w:tcW w:w="1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93EC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范围一</w:t>
            </w:r>
          </w:p>
          <w:p w14:paraId="24ED27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温室气体排放</w:t>
            </w:r>
          </w:p>
        </w:tc>
        <w:tc>
          <w:tcPr>
            <w:tcW w:w="8023"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1D46D1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指由企业拥有或者控制的排放源所产生的直接温室气体排放。</w:t>
            </w:r>
          </w:p>
        </w:tc>
      </w:tr>
      <w:tr w14:paraId="6089F420">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798" w:hRule="atLeast"/>
          <w:jc w:val="center"/>
        </w:trPr>
        <w:tc>
          <w:tcPr>
            <w:tcW w:w="1605"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2FFDC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范围二</w:t>
            </w:r>
          </w:p>
          <w:p w14:paraId="69454D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温室气体排放</w:t>
            </w:r>
          </w:p>
        </w:tc>
        <w:tc>
          <w:tcPr>
            <w:tcW w:w="8023" w:type="dxa"/>
            <w:tcBorders>
              <w:top w:val="nil"/>
              <w:left w:val="single" w:color="auto" w:sz="8" w:space="0"/>
              <w:bottom w:val="single" w:color="auto" w:sz="4" w:space="0"/>
              <w:right w:val="nil"/>
            </w:tcBorders>
            <w:shd w:val="clear" w:color="auto" w:fill="auto"/>
            <w:tcMar>
              <w:top w:w="0" w:type="dxa"/>
              <w:left w:w="108" w:type="dxa"/>
              <w:bottom w:w="0" w:type="dxa"/>
              <w:right w:w="108" w:type="dxa"/>
            </w:tcMar>
            <w:vAlign w:val="center"/>
          </w:tcPr>
          <w:p w14:paraId="730A3C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指企业所消耗的外购电力、蒸汽、供暖或者制冷产生的间接温室气体排放。</w:t>
            </w:r>
          </w:p>
          <w:p w14:paraId="3613C5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外购电力是指购买或者以其他方式接入企业边界的电力。范围二温室气体排放实际产生于发电设施。</w:t>
            </w:r>
          </w:p>
        </w:tc>
      </w:tr>
      <w:tr w14:paraId="60701520">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1607" w:hRule="atLeast"/>
          <w:jc w:val="center"/>
        </w:trPr>
        <w:tc>
          <w:tcPr>
            <w:tcW w:w="1605"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ACDA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范围三</w:t>
            </w:r>
          </w:p>
          <w:p w14:paraId="50F552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温室气体排放</w:t>
            </w:r>
          </w:p>
        </w:tc>
        <w:tc>
          <w:tcPr>
            <w:tcW w:w="8023" w:type="dxa"/>
            <w:tcBorders>
              <w:top w:val="single" w:color="auto" w:sz="4" w:space="0"/>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296964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指企业价值链中发生的间接温室气体排</w:t>
            </w:r>
            <w:bookmarkStart w:id="0" w:name="_GoBack"/>
            <w:bookmarkEnd w:id="0"/>
            <w:r>
              <w:rPr>
                <w:rFonts w:hint="eastAsia" w:ascii="仿宋" w:hAnsi="仿宋" w:eastAsia="仿宋" w:cs="仿宋"/>
                <w:i w:val="0"/>
                <w:iCs w:val="0"/>
                <w:caps w:val="0"/>
                <w:color w:val="333333"/>
                <w:spacing w:val="-2"/>
                <w:kern w:val="0"/>
                <w:sz w:val="21"/>
                <w:szCs w:val="21"/>
                <w:bdr w:val="none" w:color="auto" w:sz="0" w:space="0"/>
                <w:lang w:val="en-US" w:eastAsia="zh-CN" w:bidi="ar"/>
              </w:rPr>
              <w:t>放（不包括在范围二温室气体排放中），包括上游和下游排放。如《温室气体核算体系：企业价值链（范围三）核算和报告标准》所述，分为下列十五类活动所产生的温室气体排放：</w:t>
            </w:r>
          </w:p>
          <w:p w14:paraId="7BA653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1.购买的商品和服务；</w:t>
            </w:r>
          </w:p>
          <w:p w14:paraId="7A1712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2.资本商品；</w:t>
            </w:r>
          </w:p>
          <w:p w14:paraId="52A4CE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3.燃料和能源相关活动（未包括在范围一和范围二中的部分）；</w:t>
            </w:r>
          </w:p>
          <w:p w14:paraId="4E97F5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4.上游运输及配送；</w:t>
            </w:r>
          </w:p>
          <w:p w14:paraId="3F365D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5.运营中产生的废弃物；</w:t>
            </w:r>
          </w:p>
          <w:p w14:paraId="5F8C3C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6.商务差旅；</w:t>
            </w:r>
          </w:p>
          <w:p w14:paraId="46DE52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7.员工通勤；</w:t>
            </w:r>
          </w:p>
          <w:p w14:paraId="3C9466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8.上游租赁资产；</w:t>
            </w:r>
          </w:p>
          <w:p w14:paraId="7D5131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9.下游运输及配送；</w:t>
            </w:r>
          </w:p>
          <w:p w14:paraId="73FB11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10.售出产品的加工；</w:t>
            </w:r>
          </w:p>
          <w:p w14:paraId="4F36A6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11.售出产品的使用；</w:t>
            </w:r>
          </w:p>
          <w:p w14:paraId="5ADFD2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12.售出产品的报废处理；</w:t>
            </w:r>
          </w:p>
          <w:p w14:paraId="7CA0A0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13.下游租赁资产；</w:t>
            </w:r>
          </w:p>
          <w:p w14:paraId="3B5497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14.特许经营权；</w:t>
            </w:r>
          </w:p>
          <w:p w14:paraId="46D888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15.投资。</w:t>
            </w:r>
          </w:p>
        </w:tc>
      </w:tr>
      <w:tr w14:paraId="2930BBDF">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90" w:hRule="atLeast"/>
          <w:jc w:val="center"/>
        </w:trPr>
        <w:tc>
          <w:tcPr>
            <w:tcW w:w="1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1AE6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firstLine="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二氧化碳当量</w:t>
            </w:r>
          </w:p>
        </w:tc>
        <w:tc>
          <w:tcPr>
            <w:tcW w:w="8023"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422560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通用计量单位，比较某种温室气体与二氧化碳的辐射强度的单位。给定温室气体的二氧化碳当量等于该温室气体量乘以其全球变暖潜力值。</w:t>
            </w:r>
          </w:p>
          <w:p w14:paraId="79DED2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firstLine="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全球变暖潜力值指每单位特定温室气体相对于每单位二氧化碳的辐射强度影响（对大气的危害程度）的系数。企业应当使用国家相关部门要求的全球变暖潜力值，也可以参考根据报告日可获取的联合国政府间气候变化专门委员会最新评估，基于百年全球变暖潜力值将七种温室气体排放量转换为二氧化碳当量值。</w:t>
            </w:r>
          </w:p>
        </w:tc>
      </w:tr>
      <w:tr w14:paraId="0725A194">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623" w:hRule="atLeast"/>
          <w:jc w:val="center"/>
        </w:trPr>
        <w:tc>
          <w:tcPr>
            <w:tcW w:w="1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0D05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firstLine="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排放因子</w:t>
            </w:r>
          </w:p>
        </w:tc>
        <w:tc>
          <w:tcPr>
            <w:tcW w:w="8023"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6BE143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指每单位活动数据（如能源消耗量、生产量等）所对应的温室气体排放量。例如：燃烧1吨煤炭产生的二氧化碳当量排放、生产1吨水泥产生的二氧化碳当量排放。排放量=活动数据×排放因子。</w:t>
            </w:r>
          </w:p>
        </w:tc>
      </w:tr>
      <w:tr w14:paraId="75BECAEF">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101" w:hRule="atLeast"/>
          <w:jc w:val="center"/>
        </w:trPr>
        <w:tc>
          <w:tcPr>
            <w:tcW w:w="1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6584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融资排放</w:t>
            </w:r>
          </w:p>
        </w:tc>
        <w:tc>
          <w:tcPr>
            <w:tcW w:w="8023"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065F0B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指被投资方或者交易对手方的温室气体排放总量中归属于企业向被投资方或者交易对手方提供的贷款和投资的部分，属于范围三温室气体排放的第十五个类别。</w:t>
            </w:r>
          </w:p>
        </w:tc>
      </w:tr>
      <w:tr w14:paraId="7566319D">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848" w:hRule="atLeast"/>
          <w:jc w:val="center"/>
        </w:trPr>
        <w:tc>
          <w:tcPr>
            <w:tcW w:w="1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09E2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内部碳定价</w:t>
            </w:r>
          </w:p>
        </w:tc>
        <w:tc>
          <w:tcPr>
            <w:tcW w:w="8023"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280893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指企业用于评估投资、生产和消费模式变化以及潜在的技术进步和未来减排成本财务影响的价格。企业通常使用下列两种类型的内部碳定价：</w:t>
            </w:r>
          </w:p>
          <w:p w14:paraId="6AB188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1.影子价格，即企业不实际收取的理论成本或者名义金额，该价格可用于了解风险影响、新投资、项目净现值、各种措施成本效益的经济影响；</w:t>
            </w:r>
          </w:p>
          <w:p w14:paraId="44A366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2.内部税费，即企业根据业务活动、产品线或者其他业务部门的温室气体排放量收取的碳定价（这些内部税费类似于企业内部转移定价）。</w:t>
            </w:r>
          </w:p>
        </w:tc>
      </w:tr>
      <w:tr w14:paraId="6094D6FC">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871" w:hRule="atLeast"/>
          <w:jc w:val="center"/>
        </w:trPr>
        <w:tc>
          <w:tcPr>
            <w:tcW w:w="1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78DC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业务模式</w:t>
            </w:r>
          </w:p>
        </w:tc>
        <w:tc>
          <w:tcPr>
            <w:tcW w:w="8023"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1EFF24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2"/>
                <w:kern w:val="0"/>
                <w:sz w:val="21"/>
                <w:szCs w:val="21"/>
                <w:bdr w:val="none" w:color="auto" w:sz="0" w:space="0"/>
                <w:lang w:val="en-US" w:eastAsia="zh-CN" w:bidi="ar"/>
              </w:rPr>
              <w:t>指企业通过其活动将投入转化为产出和结果的体系，旨在实现企业的战略目标并为企业创造价值，从而在短期、中期和长期产生现金流量。</w:t>
            </w:r>
          </w:p>
        </w:tc>
      </w:tr>
      <w:tr w14:paraId="0D090F3C">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90" w:hRule="atLeast"/>
          <w:jc w:val="center"/>
        </w:trPr>
        <w:tc>
          <w:tcPr>
            <w:tcW w:w="1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75F6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0"/>
                <w:kern w:val="0"/>
                <w:sz w:val="21"/>
                <w:szCs w:val="21"/>
                <w:bdr w:val="none" w:color="auto" w:sz="0" w:space="0"/>
                <w:lang w:val="en-US" w:eastAsia="zh-CN" w:bidi="ar"/>
              </w:rPr>
              <w:t>《温室气体核算体系》</w:t>
            </w:r>
          </w:p>
        </w:tc>
        <w:tc>
          <w:tcPr>
            <w:tcW w:w="8023"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1C9FCA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tLeast"/>
              <w:ind w:left="0" w:right="0"/>
              <w:jc w:val="both"/>
              <w:textAlignment w:val="auto"/>
              <w:rPr>
                <w:rFonts w:hint="eastAsia" w:ascii="仿宋" w:hAnsi="仿宋" w:eastAsia="仿宋" w:cs="仿宋"/>
                <w:spacing w:val="-2"/>
                <w:sz w:val="21"/>
                <w:szCs w:val="21"/>
              </w:rPr>
            </w:pPr>
            <w:r>
              <w:rPr>
                <w:rFonts w:hint="eastAsia" w:ascii="仿宋" w:hAnsi="仿宋" w:eastAsia="仿宋" w:cs="仿宋"/>
                <w:i w:val="0"/>
                <w:iCs w:val="0"/>
                <w:caps w:val="0"/>
                <w:color w:val="333333"/>
                <w:spacing w:val="0"/>
                <w:kern w:val="0"/>
                <w:sz w:val="21"/>
                <w:szCs w:val="21"/>
                <w:bdr w:val="none" w:color="auto" w:sz="0" w:space="0"/>
                <w:lang w:val="en-US" w:eastAsia="zh-CN" w:bidi="ar"/>
              </w:rPr>
              <w:t>指由</w:t>
            </w:r>
            <w:r>
              <w:rPr>
                <w:rFonts w:hint="eastAsia" w:ascii="仿宋" w:hAnsi="仿宋" w:eastAsia="仿宋" w:cs="仿宋"/>
                <w:i w:val="0"/>
                <w:iCs w:val="0"/>
                <w:caps w:val="0"/>
                <w:color w:val="333333"/>
                <w:spacing w:val="-2"/>
                <w:kern w:val="0"/>
                <w:sz w:val="21"/>
                <w:szCs w:val="21"/>
                <w:bdr w:val="none" w:color="auto" w:sz="0" w:space="0"/>
                <w:lang w:val="en-US" w:eastAsia="zh-CN" w:bidi="ar"/>
              </w:rPr>
              <w:t>世界资源研究所和世界可持续发展工商理事会（WRI/WBCSD）制定的《温室气体核算体系：企业核算和报告标准》（GHG Protocol）。</w:t>
            </w:r>
          </w:p>
        </w:tc>
      </w:tr>
    </w:tbl>
    <w:p w14:paraId="6E8C9B04">
      <w:pPr>
        <w:keepNext w:val="0"/>
        <w:keepLines w:val="0"/>
        <w:pageBreakBefore w:val="0"/>
        <w:shd w:val="clear"/>
        <w:kinsoku/>
        <w:wordWrap/>
        <w:overflowPunct/>
        <w:topLinePunct w:val="0"/>
        <w:autoSpaceDE/>
        <w:autoSpaceDN/>
        <w:bidi w:val="0"/>
        <w:adjustRightInd/>
        <w:snapToGrid/>
        <w:spacing w:line="560" w:lineRule="exact"/>
        <w:textAlignment w:val="auto"/>
      </w:pPr>
    </w:p>
    <w:sectPr>
      <w:pgSz w:w="11906" w:h="16838"/>
      <w:pgMar w:top="187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B81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2025-12-26T08:07:57Z</dcterms:created>
  <dc:creator>36514</dc:creator>
  <cp:lastModifiedBy>热心市民胡先生</cp:lastModifiedBy>
  <dcterms:modified xsi:type="dcterms:W3CDTF">2025-12-26T08:18:59Z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eyJoZGlkIjoiMjUzNGU0NWY2Nzk5Mzc2ZGM4M2Y1MzY3OGNlZTI4MjciLCJ1c2VySWQiOiI0NDQwNDY3MjUifQ==</vt:lpwstr>
  </property>
  <property fmtid="{D5CDD505-2E9C-101B-9397-08002B2CF9AE}" pid="4" name="ICV">
    <vt:lpwstr>5AEEAED3906F4C70B16B3B6660184711_12</vt:lpwstr>
  </property>
</Properties>
</file>