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关于严格执行企业会计准则 切实做好企业2023年年报工作的通知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财会〔2023〕29号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各省、自治区、直辖市、计划单列市财政厅（局）、国资委，新疆生产建设兵团财政局、国资委，财政部各地监管局，金融监管总局各监管局，中国证监会各监管局，有关企业，有关单位：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为深入贯彻落实党的二十大精神和《中共中央办公厅 国务院办公厅印发&lt;关于进一步加强财会监督工作的意见&gt;的通知》、《国务院办公厅关于进一步规范财务审计秩序促进注册会计师行业健康发展的意见》（国办发〔2021〕30号）有关要求，强化国家统一的会计制度的贯彻实施，加大对企业会计准则实施环节的管理和指导力度，督促相关企业和会计师事务所严格执行企业会计准则，扎实做好2023年年报工作，现将有关事项通知如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一、编制2023年年报应予关注的准则实施重点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国家统一的会计制度是企业进行会计处理、生成会计信息的唯一标准，是规范会计行为和会计秩序的重要依据。企业应当按照国家统一的会计制度编制财务报告，向有关各方提供的财务报告，其编制基础、编制依据、编制原则和方法应当一致，不得提供编制基础、编制依据、编制原则和方法不同的财务报告。企业编制年报应当严格执行财政部发布的企业会计准则、企业会计准则解释、企业会计准则应用指南、会计处理规定等有关规定，不得编制或提供不符合国家统一的会计制度要求的会计信息。在此基础上，需要特别关注以下重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（一）关于存货。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1号——存货》（财会〔2006〕3号）等相关规定，在资产负债表日对存货按照成本与可变现净值孰低计量。企业在确定存货的可变现净值时，应当以取得的确凿证据为基础，并且考虑持有存货的目的、资产负债表日后事项的影响等因素。资产负债表日至财务报告批准报出日之间存货售价发生波动的，如有确凿证据表明其对资产负债表日存货已经存在的情况提供了新的或进一步的证据，则在确定存货可变现净值时应当予以考虑，否则，不应予以考虑。例如，对于存在活跃市场的大宗商品，资产负债表日至财务报告批准报出日之间的市场价格波动属于资产负债表日后非调整事项，不应予以考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（二）关于长期股权投资。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2号——长期股权投资》（财会〔2014〕14号，以下简称长期股权投资准则）、《企业会计准则第40号——合营安排》（财会〔2014〕11号）的相关规定，判断是否对被投资单位具有重大影响或共同控制，并进行相应会计处理和披露。在判断对被投资单位是否具有重大影响时，企业应当严格遵循会计准则的规定，综合考虑所有事实和情况，对其是否对被投资单位的财务和经营政策有参与决策的权力来作出恰当的判断。例如，在投资方向被投资单位派驻董事的情形下，应当有充分证据证明该董事能够代表投资方参与被投资单位财务和经营政策的制定，并综合考虑其他所有事实和情况对被投资单位是否具有重大影响进行判断。企业不应仅以撤回或委派董事、委派监事、增加或减少持有被投资单位的股份等个别事实为依据作出判断。企业在判断对被投资单位是否具有重大影响时，应综合考虑投资方直接或间接持有被投资单位的表决权股份；企业在个别财务报表中对长期股权投资进行权益法核算时，应当仅考虑直接持有的被投资单位的股权份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按照长期股权投资准则采用权益法对被投资单位进行后续计量的，投资方在确认应享有被投资单位净损益的份额时，应当以取得投资时被投资单位可辨认净资产的公允价值为基础，对被投资单位的净利润进行调整后确认。对于投资企业与其联营企业、合营企业之间发生的未实现内部交易损益，按照应享有的比例计算归属于投资企业的部分，应当予以抵销，在此基础上确认投资收益。投资企业与联营企业、合营企业发生的未实现内部交易损失，按照《企业会计准则第8号——资产减值》（财会〔2006〕3号，以下简称资产减值准则）等规定属于资产减值损失的，应当全额确认。投资方确认应分担被投资单位发生的损失，原则上应以长期股权投资及其他实质上构成对被投资单位净投资的长期权益减记至零为限，投资方负有承担额外损失义务的除外。原持有的对被投资单位的股权投资按照《企业会计准则第22号——金融工具确认和计量》（财会〔2017〕7号，以下简称金融工具确认计量准则）等进行会计处理的，因追加投资等原因转按权益法核算时，投资企业应当按照金融工具确认计量准则确定的原股权投资在转换日的公允价值加上为取得新增投资而应支付对价的公允价值，作为改按权益法核算的初始投资成本。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（三）关于投资性房地产。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投资性房地产的确认。企业应当按照《企业会计准则第3号——投资性房地产》（财会〔2006〕3号，以下简称投资性房地产准则）等相关规定，根据投资性房地产的定义、特征、范围和确认条件等，对投资性房地产进行确认。投资性房地产应当能够单独计量和出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投资性房地产的后续计量。企业应当按照投资性房地产准则的相关规定，对投资性房地产采用成本模式或者公允价值模式进行后续计量，计量模式一经确定，不得随意变更。成本模式转为公允价值模式的，应当作为会计政策变更，按照《企业会计准则第28号——会计政策、会计估计变更和差错更正》（财会〔2006〕3号，以下简称会计政策、会计估计变更和差错更正准则）处理。已采用公允价值模式计量的投资性房地产，不得从公允价值模式转为成本模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（四）关于固定资产。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4号——固定资产》（财会〔2006〕3号）等相关规定，将符合固定资产定义和确认条件的资产及时确认为固定资产，企业不得将应确认为固定资产的资产确认为其他资产或计入当期损益。固定资产应自达到预定可使用状态时开始计提折旧；已达到预定可使用状态但尚未办理竣工决算的固定资产，应当按照估计价值确定其成本，并计提折旧，待办理竣工决算后再按实际成本调整原来的暂估价值，但不需要调整原已计提的折旧额。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（五）关于生物资产。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5号——生物资产》（财会〔2006〕3号，以下简称生物资产准则）等相关规定，对生物资产进行后续计量。生物资产通常按照成本计量，但有确凿证据表明其公允价值能够持续可靠取得的除外。对于采用公允价值计量的生物资产，生物资产准则规定了严格的条件，应当满足生物资产准则第二十二条、以及《&lt;企业会计准则第5号——生物资产&gt;应用指南》（财会〔2006〕18号）“五、生物资产的后续计量”等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（六）关于无形资产。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6号——无形资产》（财会〔2006〕3号，以下简称无形资产准则）等相关规定，合理划分企业内部研究开发项目的研究阶段和开发阶段。研究阶段的支出，应当于发生时计入当期损益；开发阶段的支出，满足无形资产准则第九条规定的有关条件的，才能确认为无形资产。企业以前期间已经按照无形资产准则等规定费用化计入损益的研究开发支出不得在后续期间重新资本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（七）关于资产减值。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减值的判断和计量。企业应当按照资产减值准则等相关规定，根据企业具体情况对固定资产、使用权资产、长期股权投资等资产减值准备进行职业判断和会计处理，企业应当在资产负债表日判断资产是否存在可能发生减值的迹象，存在减值迹象的，应当合理确定关键参数，估计可收回金额，充分、及时计提减值并披露与减值相关的重要信息。判断资产减值迹象或认定减值金额时，应以相关资产在资产负债表日的状况为基础，以资产负债表日已经存在且能够取得的可靠信息为依据，而不应考虑资产负债表日后非调整事项的影响。例如，对于采用权益法核算的长期股权投资，当被投资方股价出现明显下跌且远低于被投资单位净资产的账面价值时，表明投资方对被投资单位的该项长期股权投资存在减值迹象，投资方应当对该项长期股权投资估计可收回金额，可收回金额应当根据该项长期股权投资的公允价值减去处置费用后的净额与该项长期股权投资预计未来现金流量的现值两者之间较高者确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商誉减值。在商誉减值测试时，因企业合并所形成的商誉的账面价值，应当自购买日起按照合理的方法分摊至购买方预计能够从企业合并的协同效应中受益的资产组或资产组组合。被分摊商誉的这些资产组或资产组组合应当同时满足下列条件：（1）代表企业基于内部管理目的对商誉进行监控的最低水平；（2）不大于按照《企业会计准则第35号——分部报告》（财会〔2006〕3号）所确定的报告分部，该报告分部是指《企业会计准则解释第3号》（财会〔2009〕8号）第八项所规定的经营分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（八）关于收入。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时段法和时点法。企业应当按照《企业会计准则第14号——收入》（财会〔2017〕22号，以下简称收入准则）第十一条的相关规定，结合业务实际情况，判断履约义务是否满足在某一时段内履行的条件，如满足，则该履约义务属于某一时段内履行的履约义务，相关收入应当在履约义务履行的期间内确认；如不满足，则该履约义务属于在某一时点履行的履约义务，相关收入应当在客户取得相关商品或服务（以下简称商品）控制权的时点确认。企业不得通过随意调整收入确认方法提早、推迟确认收入或平滑业绩。例如，房地产企业预售商品房业务在我国法律法规环境下通常不符合时段法收入确认条件，应当按照时点法（通常为交付商品房时）确认收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主要责任人和代理人。当企业向客户销售商品涉及其他方参与其中时，企业不应仅局限于合同的法律形式，而应当综合考虑所有相关事实和情况，评估特定商品在转让给客户之前是否控制该商品，确定其自身在该交易中的身份是主要责任人还是代理人：控制该商品的，其身份为主要责任人，用总额法确认收入；不控制该商品的，其身份为代理人，用净额法确认收入。取得相关商品控制权，是指能够主导该商品的使用并从中获得几乎全部的经济利益。部分行业如贸易、百货、电商、来料加工、广告营销等应对此予以特别关注，应当结合业务商业模式等相关事实和情况，严格按照收入准则的相关规定进行判断和会计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为便于准则实施，企业在判断时通常也可以参考如下三个迹象：企业承担向客户转让商品的主要责任；企业在转让商品之前或之后承担了该商品的存货风险；企业有权自主决定所交易商品的价格。需要强调的是，企业在判断其是主要责任人还是代理人时，应当以该企业在特定商品转移给客户之前是否能够控制该商品为原则，上述三个迹象仅为支持对控制权的评估，不能取代控制权的评估，也不能凌驾于控制权评估之上，更不是单独或额外的评估，应予以综合考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（九）关于政府补助。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政府补助的判断。企业应当按照《企业会计准则第16号——政府补助》（财会〔2017〕15号，以下简称政府补助准则）的相关规定，根据交易或事项的实质对来源于政府的经济资源所归属的类型作出判断，区分收入、政府补助和政府的资本性投入等分别进行相应的会计处理。企业从政府取得的经济资源不符合无偿性的，不属于政府补助。对于符合政府补助的定义和特征的，正确区分与资产相关的政府补助和与收益相关的政府补助，并按照该准则的要求进行确认、计量、列示与披露。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2.关于政府补助的分类。对同时包含与资产相关部分和与收益相关部分的政府补助，应当采用合理的方法区分不同部分分别进行会计处理；确实难以区分的，应当整体归类为与收益相关的政府补助。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关于政府补助的会计处理。企业应当按照经济业务实质对政府补助是否与日常活动相关进行恰当判断，并进行相应会计处理，不得不经判断随意将政府补助计入营业外收入。企业应当根据政府补助准则有关规定，合理确定将与资产相关的政府补助和与收益相关的政府补助计入当期损益的时点，不得提前或延后。企业取得政策性优惠贷款贴息，且财政将贴息资金直接拨付给企业的，应当将对应的贴息冲减相关借款费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（十）关于借款费用。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企业会计准则第17号——借款费用》（财会〔2006〕3号）等相关规定，合理确定借款费用资本化期间开始、暂停和停止时点，将借款费用分别计入符合资本化条件的资产成本或当期损益。符合资本化条件的资产，是指需要经过相当长时间的购建或者生产活动才能达到预定可使用或者可销售状态的固定资产、投资性房地产和存货等资产。购入即可使用的资产，或者购入后需要安装但所需安装时间较短的资产，或者需要建造或生产但建造或生产时间较短的资产，均不属于符合资本化条件的资产，例如企业取得的采矿权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（十一）关于企业合并。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业务的判断。企业应当按照《企业会计准则第20号——企业合并》（财会〔2006〕3号，以下简称企业合并准则）、《企业会计准则解释第13号》（财会〔2019〕21号）的相关规定，正确判断企业合并中取得的经营活动或资产的组合是否构成业务，选择采用集中度测试仅限于判断非同一控制下企业合并中取得的组合是否构成业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2.关于企业合并的类型。对于企业合并中取得的经营活动或资产的组合构成业务的，企业应当按照企业合并准则的相关规定，正确区分同一控制下企业合并和非同一控制下企业合并，并进行相应会计处理。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（十二）关于租赁。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重新评估租赁的分类。出租人应当按照《企业会计准则第21号——租赁》（财会〔2018〕35号）的规定，在租赁开始日将租赁分为融资租赁和经营租赁。在租赁开始日后，出租人无需对租赁的分类进行重新评估，除非发生租赁变更。在租赁开始日后，承租人按照原合同条款行使续租选择权或终止租赁选择权等导致租赁期变化的，不属于租赁变更，出租人无需对相关租赁的分类进行重新评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2.关于评估合同是否为租赁或者包含租赁。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企业在评估合同是否为租赁或者包含租赁时，应当在各潜在单独租赁部分（如可单独使用的资产）的层面评估资产供应方的替换权是否为实质性权利。评估时，企业应考虑资产供应方是否在整个使用期间都具有替换资产的实际能力，并能通过行使替换资产的权利获得经济利益。如果合同仅赋予资产供应方在特定日期或者特定事件发生日或之后拥有替换资产的权利或义务，资产供应方的替换权不具有实质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企业在评估合同是否为租赁或者包含租赁时，需判断客户是否有权在整个使用期间主导已识别资产的使用目的和使用方式。在合同中预先确定资产使用目的和使用方式相关决策的，企业应当考虑该做法是对客户使用资产的范围作出限定，还是对客户在整个使用期间与改变资产的使用目的和使用方式相关的决策权作出限定，如果仅是对客户使用资产的范围作出限定，该限定不妨碍客户获得主导资产使用的权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（十三）关于金融工具。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预期信用损失准备的确认。企业应当按照金融工具确认计量准则的规定，以预期信用损失为基础对以摊余成本计量的应收款项、合同资产以及相关贷款承诺、财务担保合同等进行减值会计处理并确认损失准备，不得以其信用风险较低为由不对其确认损失准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应收账款的终止确认。企业通过保理、资产证券化等方式转让应收账款，应当按照《企业会计准则第23号——金融资产转移》（财会〔2017〕8号）的规定，根据相关合同的经济实质，而非仅以其合同形式，判断该转让是否导致应收账款的终止确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（十四）关于保险合同。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执行《企业会计准则第25号——保险合同》（财会〔2020〕20号）的企业，应当严格按照该准则规定确认保险服务收入。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对于未采用保费分配法的保险合同组，企业确认的当期保险服务收入由未到期责任负债账面价值当期减少额中因当期提供保险合同服务而预计取得的对价金额和保险获取现金流量摊销的金额组成。与当期提供保险合同服务不相关的变动和分摊至未到期责任负债亏损部分的金额不应确认为保险服务收入。在确认保险服务收入时，不得包含保险合同中的投资成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对于采用保费分配法的保险合同组，企业应当将已收和预计收取的保费扣除投资成分并对重大融资成分进行调整后分摊至当期的金额，确认为保险服务收入。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（十五）关于会计政策、会计估计变更和差错更正。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会计政策、会计估计变更和差错更正准则的相关规定，正确划分会计政策变更、会计估计变更和前期差错更正，并进行相应会计处理和披露。企业应当采用追溯重述法更正重要的前期差错，并在重要的前期差错发现当期的财务报表中调整前期比较数据，不得在重要的前期差错发现当期的财务报表中直接调整当期数据。企业采用的会计政策和会计估计应当如实反映企业的交易和事项，不得滥用会计政策或随意变更会计估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（十六）关于持续经营的判断。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在编制财务报表的过程中，企业管理层应当按照《企业会计准则第30号——财务报表列报》（财会〔2014〕7号，以下简称财务报表列报准则）的相关规定，利用所有可获得信息来评价企业自报告期末起至少12个月的持续经营能力。评价结果表明企业仍处于持续经营状态的，应当以持续经营为基础编制财务报表；评价结果表明企业对持续经营能力产生重大怀疑的，应当在附注中披露导致对持续经营能力产生重大怀疑的因素以及企业拟采取的改善措施；评价结果表明企业处于非持续经营状态的，应当采用其他基础编制财务报表，并在附注中声明财务报表未以持续经营为基础编制的事实、披露未以持续经营为基础编制的原因和财务报表的编制基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（十七）关于合并财务报表。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关于控制的判断。企业应当按照《企业会计准则第33号——合并财务报表》（财会〔2014〕10号，以下简称合并财务报表准则）的相关规定，综合考虑所有相关事实和情况，按照控制定义的三项要素判断企业是否控制被投资方。企业在判断是否拥有对被投资方的权力时，应当仅考虑与被投资方相关的实质性权利，包括自身所享有的实质性权利以及其他方所享有的实质性权利。企业不应仅以子公司自愿破产、签订一致行动协议或修改公司章程等个别事实为依据作出判断，随意改变合并财务报表范围。对控制的评估是持续的，当环境或情况发生变化时，投资方需要评估控制的三项要素中的一项或多项是否发生了变化，是否影响了投资方对被投资方控制的判断。企业应当审慎考虑与子公司相关的实质性权利，对是否丧失对子公司的控制权进行综合判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合并财务报表的合并范围应当以控制为基础予以确定，不仅包括根据表决权（或类似权利）本身或者结合其他安排确定的子公司，也包括基于一项或多项合同安排决定的结构化主体。在判断是否将结构化主体纳入合并范围时，如证券化产品、资产支持融资工具、部分投资基金（如REITs）等，企业应当严格遵循上述有关要求，按照合并财务报表准则的相关规定，综合所有事实和情况进行判断和会计处理。企业应当将所有控制的被投资方纳入合并范围（涉及母公司是投资性主体的情形除外），不得将未控制或丧失控制权的被投资方纳入合并范围，也不得将控制的被投资方不纳入合并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关于抵销内部交易的原则。母公司应当以自身和其全部子公司的财务报表为基础，根据其他有关资料，编制合并财务报表，将整个企业集团视为一个会计主体，正确抵销内部交易的影响，依据相关企业会计准则的确认、计量和列报要求，按照统一的会计政策，反映企业集团整体财务状况、经营成果和现金流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（十八）关于报表格式。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按照财务报表列报准则、《企业会计准则第31号——现金流量表》（财会〔2006〕3号）、《财政部关于修订印发2018年度金融企业财务报表格式的通知》（财会〔2018〕36号）、《财政部关于修订印发2019年度一般企业财务报表格式的通知》（财会〔2019〕6号）、《财政部关于修订印发合并财务报表格式（2019版）的通知》（财会〔2019〕16号）、《财政部关于修订印发2023年度保险公司财务报表格式的通知》（财会〔2022〕37号）等相关规定，并按照规定的报表格式和报表项目等要求编制2023年年度财务报表。同时，企业应当按相关准则要求对财务报表附注信息进行充分披露。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　　</w:t>
      </w:r>
      <w:r>
        <w:rPr>
          <w:rFonts w:hint="eastAsia" w:ascii="黑体" w:hAnsi="黑体" w:eastAsia="黑体" w:cs="黑体"/>
          <w:b w:val="0"/>
          <w:bCs w:val="0"/>
          <w:i w:val="0"/>
          <w:iCs w:val="0"/>
          <w:caps w:val="0"/>
          <w:color w:val="333333"/>
          <w:spacing w:val="0"/>
          <w:sz w:val="32"/>
          <w:szCs w:val="32"/>
          <w:shd w:val="clear" w:fill="FFFFFF"/>
        </w:rPr>
        <w:t>二、切实加强组织实施与监督检查，认真扎实做好企业2023年年报工作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一）企业应当严格执行会计准则，加强内部控制，全面提升2023年年报质量。执行企业会计准则的各类企业应当以会计信息质量为核心，切实履行会计信息质量主体责任，建立健全会计信息质量治理架构。单位负责人要高度重视并切实加强对会计工作的组织领导，对会计资料的真实性、完整性负责。企业应当加强对企业会计准则以及近年来年报工作通知相关重点内容的学习理解，准确把握有关具体要求，严格按照企业会计准则规定，结合企业实际情况和业务实质，综合所有相关事实和情况，合理作出职业判断，并进行会计处理和信息披露。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企业应当对近年来问题多发频发的重点领域，加大会计核算和报表编制审核力度，确保年报数据真实准确，严防会计信息失真，上市公司不得通过调节会计信息规避退市。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加强业务真实性和风险充分识别的管理力度，严防大股东通过各种形式套取资金；严禁通过各种形式掩盖风险和损失；严禁利用会计准则和设计实施复杂交易调节利润、虚假转让资产、规避监管要求；严禁虚列经济事项套取资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企业应当强化内部财会监督作用，将财会监督纳入公司治理内容，强化公司治理层面财会监督力度，建立职责清晰、权责明确的财会监督体系；企业内部各部门、分支机构和附属机构在会计信息质量方面应各司其职、各负其责，共同落实财会监督要求，确保业务数据真实合规、风险充分识别计量、财务报表真实完整、信息披露充分透明。同时，要强化企业内部财会工作对业务发展和风险评估的监督作用，推动提升业务真实合规和风险充分识别。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执行企业内部控制规范体系的企业应当建立健全内部控制制度，完善风险评估机制，强化对重点领域和高风险领域内部控制有效性的评价，细化内部控制缺陷认定标准，科学认定内部控制缺陷，强化内部控制缺陷整改工作，完整、准确、真实披露内部控制评价报告，充分发挥内部控制在提升企业会计信息质量、防范财务舞弊等方面的重要作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（二）会计师事务所应当提高审计质量，充分发挥社会审计鉴证作用。会计师事务所应当紧抓质量提升主线，守住诚信操守底线，筑牢法律法规红线，充分发挥审计鉴证作用，持续提升审计质量。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有关企业应当严格按照《国有企业、上市公司选聘会计师事务所管理办法》（财会〔2023〕4号）等规定，做好年报会计师事务所选聘、披露、轮换等工作，促进注册会计师行业公平竞争，推动提升年报审计质量。上市公司应当严格履行会计师事务所选聘审议程序，议案经审计委员会同意后，方可提交董事会、股东大会；公司应当认真做好会计师事务所聘任、履职、费用等信息的披露；公司应当严格落实会计师事务所及注册会计师轮换要求，变更年审会计师事务所的，应当在年底前完成并披露变更原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会计师事务所在进行年报审计时，应当重点关注易发生错报的企业合并报表编制、收入确认、减值计提等领域，融资性贸易等业务，房地产、医药等重点行业，警惕通过伪造变造凭证、利用关联方虚构交易或第三方配合等方式实施系统性造假和配合造假的行为。对企业年报存在异常的，应当保持高度的职业怀疑，作出恰当的职业判断，进一步执行审计程序，不应直接采用管理层声明替代必要的审计程序，及时有效识别企业舞弊和财务造假。审计过程中，应当严格执行准则要求，实施恰当的审计程序，确保获取充分适当的审计证据以支撑审计结论和意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会计师事务所利用专家工作成果或外部评估机构结果并不能免除注册会计师审计责任，因此，应准确评价专家的工作是否足以实现审计目的，确保获取的审计证据充分、适当。会计师事务所应准确分析评估机构采用的评估方法及模型、重要假设、关键参数的恰当性，有效识别、评估和应对因舞弊导致的财务报表重大错报风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会计师事务所应当严守执业准则和职业道德，客观独立发表恰当审计意见，充分揭示金融机构真实风险，有效维护公众利益。会计师事务所审计过程中应准确识别金融机构业务真实性，纠正不规范实施会计准则行为以及利用会计准则调节利润和监管套利行为，不得协助金融机构滥用会计准则，不得协助金融机构掩盖金融风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会计师事务所应当根据企业内部控制规范体系和相关执业准则要求，对上市公司财务报告内部控制有效性进行审计，同时关注非财务报告内部控制重大缺陷，提升内部控制审计报告质量。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监管部门应当加强协同配合，持续强化监管，有效促进提升企业会计信息质量。各地方和有关单位应当按照职责分工，强化宣传贯彻，积极采取措施，加强协同配合，督促辖区内有关企业严格执行企业会计准则，将企业2023年年报工作中的有关情况、问题建议等，及时向财政部及有关部门报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财政部、国务院国资委、金融监管总局、中国证监会将继续深入实施部门间年报通知工作机制，按照职责分工，加大协同配合力度，持续强化监督检查，密切跟踪企业和会计师事务所2023年年报编制、审计、决算等相关情况，加强信息共享与沟通，加大对企业进行财务造假、有关机构配合造假等违法违规行为的处罚力度，切实压实企业财务报告编制者主体责任、会计师事务所审计责任、其他单位有关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财政部      国务院国资委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金融监管总局   中国证监会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2023年12月7日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GJkNGEzM2FjYTMwNDc3MjI0NDE0MWIwOGIyZGQifQ=="/>
  </w:docVars>
  <w:rsids>
    <w:rsidRoot w:val="00000000"/>
    <w:rsid w:val="04524EE9"/>
    <w:rsid w:val="35603D0D"/>
    <w:rsid w:val="3862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2023-12-25T10:22:00Z</dcterms:created>
  <dc:creator>Administrator.TW-202109131238</dc:creator>
  <cp:lastModifiedBy>初i</cp:lastModifiedBy>
  <dcterms:modified xsi:type="dcterms:W3CDTF">2023-12-27T08:34:01Z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8826624E00FA4BB895D9BED8AF04D1FA_13</vt:lpwstr>
  </property>
</Properties>
</file>