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after="0" w:line="570" w:lineRule="exact"/>
        <w:jc w:val="left"/>
        <w:rPr>
          <w:rFonts w:ascii="Times New Roman" w:hAnsi="Times New Roman" w:eastAsia="黑体" w:cs="Times New Roman"/>
          <w:b w:val="0"/>
          <w:bCs w:val="0"/>
        </w:rPr>
      </w:pPr>
      <w:bookmarkStart w:id="0" w:name="_GoBack"/>
      <w:bookmarkEnd w:id="0"/>
      <w:r>
        <w:rPr>
          <w:rFonts w:ascii="Times New Roman" w:hAnsi="Times New Roman" w:eastAsia="黑体" w:cs="Times New Roman"/>
          <w:b w:val="0"/>
          <w:bCs w:val="0"/>
        </w:rPr>
        <w:t>附件1</w:t>
      </w:r>
    </w:p>
    <w:p>
      <w:pPr>
        <w:pStyle w:val="8"/>
        <w:spacing w:line="570" w:lineRule="exact"/>
        <w:rPr>
          <w:rFonts w:ascii="Times New Roman" w:hAnsi="Times New Roman" w:eastAsia="黑体" w:cs="Times New Roman"/>
          <w:b w:val="0"/>
          <w:bCs w:val="0"/>
        </w:rPr>
      </w:pPr>
    </w:p>
    <w:p>
      <w:pPr>
        <w:pStyle w:val="8"/>
        <w:spacing w:before="60"/>
        <w:rPr>
          <w:rFonts w:ascii="Times New Roman" w:hAnsi="Times New Roman" w:eastAsia="方正小标宋简体" w:cs="Times New Roman"/>
          <w:b w:val="0"/>
          <w:bCs w:val="0"/>
          <w:sz w:val="44"/>
        </w:rPr>
      </w:pPr>
      <w:r>
        <w:rPr>
          <w:rFonts w:ascii="Times New Roman" w:hAnsi="Times New Roman" w:eastAsia="方正小标宋简体" w:cs="Times New Roman"/>
          <w:b w:val="0"/>
          <w:bCs w:val="0"/>
          <w:sz w:val="44"/>
        </w:rPr>
        <w:t>中国资产评估协会资产评估业务报备</w:t>
      </w:r>
    </w:p>
    <w:p>
      <w:pPr>
        <w:pStyle w:val="8"/>
        <w:spacing w:before="60"/>
        <w:rPr>
          <w:rFonts w:ascii="Times New Roman" w:hAnsi="Times New Roman" w:eastAsia="方正小标宋简体" w:cs="Times New Roman"/>
          <w:b w:val="0"/>
          <w:bCs w:val="0"/>
          <w:sz w:val="44"/>
        </w:rPr>
      </w:pPr>
      <w:r>
        <w:rPr>
          <w:rFonts w:ascii="Times New Roman" w:hAnsi="Times New Roman" w:eastAsia="方正小标宋简体" w:cs="Times New Roman"/>
          <w:b w:val="0"/>
          <w:bCs w:val="0"/>
          <w:sz w:val="44"/>
        </w:rPr>
        <w:t>管理办法</w:t>
      </w:r>
    </w:p>
    <w:p>
      <w:pPr>
        <w:jc w:val="center"/>
        <w:rPr>
          <w:rFonts w:ascii="楷体_GB2312" w:eastAsia="楷体_GB2312"/>
        </w:rPr>
      </w:pPr>
      <w:r>
        <w:rPr>
          <w:rFonts w:hint="eastAsia" w:ascii="楷体_GB2312" w:eastAsia="楷体_GB2312"/>
        </w:rPr>
        <w:t>（征求意见稿）</w:t>
      </w:r>
    </w:p>
    <w:p>
      <w:pPr>
        <w:ind w:firstLine="880" w:firstLineChars="200"/>
        <w:jc w:val="center"/>
        <w:rPr>
          <w:rFonts w:ascii="Times New Roman" w:hAnsi="Times New Roman" w:eastAsia="华文中宋" w:cs="Times New Roman"/>
          <w:sz w:val="44"/>
          <w:szCs w:val="32"/>
        </w:rPr>
      </w:pPr>
    </w:p>
    <w:p>
      <w:pPr>
        <w:pStyle w:val="17"/>
        <w:numPr>
          <w:ilvl w:val="0"/>
          <w:numId w:val="1"/>
        </w:numPr>
        <w:ind w:left="0" w:firstLine="0" w:firstLineChars="0"/>
        <w:jc w:val="center"/>
        <w:rPr>
          <w:rFonts w:eastAsia="华文中宋"/>
          <w:sz w:val="32"/>
          <w:szCs w:val="32"/>
        </w:rPr>
      </w:pPr>
      <w:r>
        <w:rPr>
          <w:rFonts w:eastAsia="华文中宋"/>
          <w:sz w:val="32"/>
          <w:szCs w:val="32"/>
        </w:rPr>
        <w:t>总则</w:t>
      </w:r>
    </w:p>
    <w:p>
      <w:pPr>
        <w:spacing w:line="600" w:lineRule="exact"/>
        <w:ind w:firstLine="640" w:firstLineChars="200"/>
        <w:rPr>
          <w:rFonts w:ascii="Times New Roman" w:hAnsi="Times New Roman" w:eastAsia="仿宋_GB2312" w:cs="Times New Roman"/>
          <w:szCs w:val="32"/>
        </w:rPr>
      </w:pP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第一条 为加强资产评估行业自律管理，进一步规范资产评估业务管理，预防和打击涉及资产评估业务的违法违规行为，切实维护委托人合法利益，保障资产评估机构和资产评估师合法权益，进一步提升资产评估行业社会公信力，依据《中华人民共和国资产评估法》《资产评估行业财政监督管理办法》《中国资产评估协会章程》等制定本办法。</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第二条 依法设立并在财政部门完成备案程序，并加入中国资产评估协会接受行业自律管理的资产评估机构均适用本办法。</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第三条 本办法所称的资产评估业务报备（以下简称业务报备），是指资产评估机构依据《中华人民共和国资产评估法》和其他有关规定，将承办的全部资产评估报告及评估咨询报告向中国资产评估协会备案的行为。</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第四条 业务报备管理职责分工：</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 中国资产评估协会负责全国的业务报备管理工作，并指导各省、自治区、直辖市、计划单列市资产评估协会（以下简称地方协会）的业务报备管理工作。</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 各地方协会负责本地区资产评估机构的业务报备管理工作。</w:t>
      </w:r>
    </w:p>
    <w:p>
      <w:pPr>
        <w:spacing w:line="640" w:lineRule="exact"/>
        <w:ind w:firstLine="640" w:firstLineChars="200"/>
        <w:rPr>
          <w:rFonts w:ascii="Times New Roman" w:hAnsi="Times New Roman" w:cs="Times New Roman"/>
          <w:szCs w:val="32"/>
        </w:rPr>
      </w:pPr>
    </w:p>
    <w:p>
      <w:pPr>
        <w:pStyle w:val="17"/>
        <w:numPr>
          <w:ilvl w:val="0"/>
          <w:numId w:val="1"/>
        </w:numPr>
        <w:ind w:left="0" w:firstLine="0" w:firstLineChars="0"/>
        <w:jc w:val="center"/>
        <w:rPr>
          <w:rFonts w:eastAsia="华文中宋"/>
          <w:sz w:val="32"/>
          <w:szCs w:val="32"/>
        </w:rPr>
      </w:pPr>
      <w:r>
        <w:rPr>
          <w:rFonts w:eastAsia="华文中宋"/>
          <w:sz w:val="32"/>
          <w:szCs w:val="32"/>
        </w:rPr>
        <w:t>业务报备管理</w:t>
      </w:r>
    </w:p>
    <w:p>
      <w:pPr>
        <w:spacing w:line="640" w:lineRule="exact"/>
        <w:ind w:firstLine="640" w:firstLineChars="200"/>
        <w:rPr>
          <w:rFonts w:ascii="Times New Roman" w:hAnsi="Times New Roman" w:eastAsia="仿宋_GB2312" w:cs="Times New Roman"/>
          <w:szCs w:val="32"/>
        </w:rPr>
      </w:pP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第五条 资产评估机构业务报备采用网上报备方式。各资产评估机构应当在向委托人提交正式报告前，通过中国资产评估协会资产评估业务报备管理系统，实时录入有关业务基本信息并上传合同副本和报告正文。</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第六条 资产评估机构成功进行业务报备后，业务报备管理系统会自动生成报告备案回执。资产评估机构应当打印带有二维码的报告备案回执并列装在出具报告的扉页位置。</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第七条 报告备案回执仅证明此业务报告已在中国资产评估协会的业务报备管理系统中进行备案，不作为资产评估协会对该报告认证、认可的依据，也不作为资产评估机构及其签字资产评估专业人员免除相关法律责任的依据。</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第八条 完成业务报备后，报告内容发生变化的，资产评估机构应于5个工作日内重新上传报告正文，涉及所填业务基本信息变化的，资产评估机构应当进行修改操作并注明修改原因。</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第九条 完成业务报备后，报告作废的，资产评估机构应当进行作废操作并注明作废原因。</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第十条 业务信息涉及国家秘密的，资产评估机构注明该业务涉密并录入报告文号后，可直接获取报告备案回执，无需上传合同副本、报告正文和填报相关信息。</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业务信息涉及商业秘密或因其他保密要求暂不能填报所有信息的，资产评估机构注明该业务处于保密期并录入报告文号后，选择性填报相关信息，先获取报告备案回执。待业务解密后补充上传合同副本、报告正文和填报相关信息。</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第十一条 业务报备的具体要求：</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 资产评估机构应当按照本办法的规定及业务报备管理系统的填报要求，及时、准确、完整地进行业务报备，并保证最终填报的基本信息与业务档案一致。</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 资产评估机构对业务报备的真实性、准确性、完整性负责。</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（三） 资产评估机构应当建立业务报备内部管理制度，应当指定专人负责业务报备工作，并将其姓名和联系方式报所在地地方协会备案。</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第十二条 资产评估机构的中国资产评估协会会员资格终止，中国资产评估协会取消该资产评估机构业务报备管理系统的使用权限。</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第十三条 资产评估机构受到责令停业行政处罚的，中国资产评估协会停止该资产评估机构业务报备管理系统的使用权限。</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资产评估机构责令停业期满后由资产评估机构提出申请，经中国资产评估协会、地方协会同意后恢复其业务报告管理系统使用权限。</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第十四条 资产评估机构对业务报备信息拥有所有权。中国资产评估协会及地方协会工作人员对在业务报备中了解到的资产评估机构具体业务信息及其客户情况负有保密责任，未经许可不得向第三方提供。擅自对外提供资产评估机构业务报备信息的，将追求相关人员的责任。</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第十五条 相关当事人可通过资产评估机构提供的备案回执二维码查询备案业务的资产评估报告编码、资产评估报告名称、资产评估报告文号、资产评估机构名称、签字资产评估专业人员。</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经资产评估机构书面授权，中国资产评估协会或地方评协可以向授权书中注明的第三方提供资产评估机构指定的具体业务报备信息。</w:t>
      </w:r>
    </w:p>
    <w:p>
      <w:pPr>
        <w:spacing w:line="640" w:lineRule="exact"/>
        <w:ind w:firstLine="640" w:firstLineChars="200"/>
        <w:rPr>
          <w:rFonts w:ascii="Times New Roman" w:hAnsi="Times New Roman" w:cs="Times New Roman"/>
          <w:szCs w:val="32"/>
        </w:rPr>
      </w:pPr>
    </w:p>
    <w:p>
      <w:pPr>
        <w:pStyle w:val="17"/>
        <w:numPr>
          <w:ilvl w:val="0"/>
          <w:numId w:val="1"/>
        </w:numPr>
        <w:ind w:left="0" w:firstLine="0" w:firstLineChars="0"/>
        <w:jc w:val="center"/>
        <w:rPr>
          <w:rFonts w:eastAsia="华文中宋"/>
          <w:sz w:val="32"/>
          <w:szCs w:val="32"/>
        </w:rPr>
      </w:pPr>
      <w:r>
        <w:rPr>
          <w:rFonts w:eastAsia="华文中宋"/>
          <w:sz w:val="32"/>
          <w:szCs w:val="32"/>
        </w:rPr>
        <w:t>监督检查</w:t>
      </w:r>
    </w:p>
    <w:p>
      <w:pPr>
        <w:spacing w:line="640" w:lineRule="exact"/>
        <w:ind w:firstLine="640" w:firstLineChars="200"/>
        <w:rPr>
          <w:rFonts w:ascii="Times New Roman" w:hAnsi="Times New Roman" w:eastAsia="仿宋_GB2312" w:cs="Times New Roman"/>
          <w:szCs w:val="32"/>
        </w:rPr>
      </w:pP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第十六条 中国资产评估协会和地方协会定期或不定期对业务报备情况进行核查，对未按本办法要求进行业务报备的资产评估机构或分支机构，按照下列情形进行处理并按照有关规定记入信用档案：</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 存在漏报、误报行为的，进行谈话提醒并责令改正，情节严重的，予以警告；</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 存在故意不报、瞒报行为的，予以严重警告，情节严重的，予以通报批评；</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（三） 存在弄虚作假行为的，予以通报批评，情节严重的，予以公开谴责。</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第十七条 资产评估行政监管部门和资产评估协会可结合业务报备管理系统开展资产评估行业执业质量检查和职业风险防范机制检查等日常管理工作。</w:t>
      </w:r>
    </w:p>
    <w:p>
      <w:pPr>
        <w:spacing w:line="6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第十八条 中国资产评估协会可结合业务报备信息对资产评估机构业绩进行核查验证。</w:t>
      </w:r>
    </w:p>
    <w:p>
      <w:pPr>
        <w:spacing w:line="640" w:lineRule="exact"/>
        <w:ind w:firstLine="640" w:firstLineChars="200"/>
        <w:rPr>
          <w:rFonts w:ascii="Times New Roman" w:hAnsi="Times New Roman" w:cs="Times New Roman"/>
          <w:szCs w:val="32"/>
        </w:rPr>
      </w:pPr>
    </w:p>
    <w:p>
      <w:pPr>
        <w:pStyle w:val="17"/>
        <w:numPr>
          <w:ilvl w:val="0"/>
          <w:numId w:val="1"/>
        </w:numPr>
        <w:ind w:left="0" w:firstLine="0" w:firstLineChars="0"/>
        <w:jc w:val="center"/>
        <w:rPr>
          <w:rFonts w:eastAsia="华文中宋"/>
          <w:sz w:val="32"/>
          <w:szCs w:val="32"/>
        </w:rPr>
      </w:pPr>
      <w:r>
        <w:rPr>
          <w:rFonts w:eastAsia="华文中宋"/>
          <w:sz w:val="32"/>
          <w:szCs w:val="32"/>
        </w:rPr>
        <w:t>附 则</w:t>
      </w:r>
    </w:p>
    <w:p>
      <w:pPr>
        <w:spacing w:line="640" w:lineRule="exact"/>
        <w:ind w:firstLine="640" w:firstLineChars="200"/>
        <w:rPr>
          <w:rFonts w:ascii="Times New Roman" w:hAnsi="Times New Roman" w:eastAsia="仿宋_GB2312" w:cs="Times New Roman"/>
          <w:szCs w:val="32"/>
        </w:rPr>
      </w:pPr>
    </w:p>
    <w:p>
      <w:pPr>
        <w:spacing w:line="640" w:lineRule="exact"/>
        <w:ind w:firstLine="640" w:firstLineChars="200"/>
        <w:rPr>
          <w:rFonts w:ascii="Times New Roman" w:hAnsi="Times New Roman" w:eastAsia="黑体" w:cs="Times New Roman"/>
          <w:szCs w:val="32"/>
        </w:rPr>
      </w:pPr>
      <w:r>
        <w:rPr>
          <w:rFonts w:ascii="Times New Roman" w:hAnsi="Times New Roman" w:eastAsia="仿宋_GB2312" w:cs="Times New Roman"/>
          <w:szCs w:val="32"/>
        </w:rPr>
        <w:t>第十九条 本办法自发布之日起施行。《中国资产评估协会资产评估业务信息报备管理办法》（中评协〔2007〕105号）和《中国资产评估协会资产评估报告统一编码管理暂行办法》（中评协〔2018〕44号）同时废止。</w:t>
      </w:r>
    </w:p>
    <w:sectPr>
      <w:headerReference r:id="rId3" w:type="default"/>
      <w:footerReference r:id="rId5" w:type="default"/>
      <w:headerReference r:id="rId4" w:type="even"/>
      <w:pgSz w:w="11906" w:h="16838"/>
      <w:pgMar w:top="2098" w:right="1474" w:bottom="1985" w:left="1588" w:header="0" w:footer="935"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920701"/>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65F"/>
    <w:multiLevelType w:val="multilevel"/>
    <w:tmpl w:val="0A20165F"/>
    <w:lvl w:ilvl="0" w:tentative="0">
      <w:start w:val="1"/>
      <w:numFmt w:val="japaneseCounting"/>
      <w:lvlText w:val="第%1章"/>
      <w:lvlJc w:val="left"/>
      <w:pPr>
        <w:ind w:left="5697"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4BE1"/>
    <w:rsid w:val="00015CDC"/>
    <w:rsid w:val="00016095"/>
    <w:rsid w:val="00026944"/>
    <w:rsid w:val="00034A24"/>
    <w:rsid w:val="000412B8"/>
    <w:rsid w:val="0004198F"/>
    <w:rsid w:val="00052233"/>
    <w:rsid w:val="000576C0"/>
    <w:rsid w:val="00060EF4"/>
    <w:rsid w:val="000640DA"/>
    <w:rsid w:val="00081586"/>
    <w:rsid w:val="00082F53"/>
    <w:rsid w:val="00090F56"/>
    <w:rsid w:val="00095A38"/>
    <w:rsid w:val="00096EE0"/>
    <w:rsid w:val="000A05B5"/>
    <w:rsid w:val="000B0E5E"/>
    <w:rsid w:val="000B1A5B"/>
    <w:rsid w:val="000B5CED"/>
    <w:rsid w:val="000C5944"/>
    <w:rsid w:val="000D01D9"/>
    <w:rsid w:val="000D1B88"/>
    <w:rsid w:val="000D4EE9"/>
    <w:rsid w:val="000D76C4"/>
    <w:rsid w:val="000E3608"/>
    <w:rsid w:val="000E60E6"/>
    <w:rsid w:val="000E6B13"/>
    <w:rsid w:val="000F04FB"/>
    <w:rsid w:val="00100B0A"/>
    <w:rsid w:val="001110F9"/>
    <w:rsid w:val="00113060"/>
    <w:rsid w:val="001228EC"/>
    <w:rsid w:val="00124C32"/>
    <w:rsid w:val="0012598C"/>
    <w:rsid w:val="0013241D"/>
    <w:rsid w:val="00132E96"/>
    <w:rsid w:val="001356A9"/>
    <w:rsid w:val="00155947"/>
    <w:rsid w:val="00160504"/>
    <w:rsid w:val="00163292"/>
    <w:rsid w:val="00165556"/>
    <w:rsid w:val="00165B8E"/>
    <w:rsid w:val="0017184D"/>
    <w:rsid w:val="001726BB"/>
    <w:rsid w:val="00197758"/>
    <w:rsid w:val="001B08D4"/>
    <w:rsid w:val="001B103A"/>
    <w:rsid w:val="001B446F"/>
    <w:rsid w:val="001C2855"/>
    <w:rsid w:val="001D20EC"/>
    <w:rsid w:val="001D2382"/>
    <w:rsid w:val="001D53A5"/>
    <w:rsid w:val="001D5657"/>
    <w:rsid w:val="001D5BB1"/>
    <w:rsid w:val="001E4D26"/>
    <w:rsid w:val="001F1A10"/>
    <w:rsid w:val="001F5024"/>
    <w:rsid w:val="0020183C"/>
    <w:rsid w:val="00210F0E"/>
    <w:rsid w:val="002137B0"/>
    <w:rsid w:val="00214435"/>
    <w:rsid w:val="002179DE"/>
    <w:rsid w:val="002202EF"/>
    <w:rsid w:val="00222B25"/>
    <w:rsid w:val="00230711"/>
    <w:rsid w:val="00230B13"/>
    <w:rsid w:val="00231A02"/>
    <w:rsid w:val="0024142F"/>
    <w:rsid w:val="002423B7"/>
    <w:rsid w:val="0025096B"/>
    <w:rsid w:val="00251F57"/>
    <w:rsid w:val="0025566C"/>
    <w:rsid w:val="00255738"/>
    <w:rsid w:val="00255D39"/>
    <w:rsid w:val="00257DA1"/>
    <w:rsid w:val="00274150"/>
    <w:rsid w:val="00275664"/>
    <w:rsid w:val="00281AC4"/>
    <w:rsid w:val="00282C8B"/>
    <w:rsid w:val="00284F37"/>
    <w:rsid w:val="00287818"/>
    <w:rsid w:val="002878CD"/>
    <w:rsid w:val="00293B17"/>
    <w:rsid w:val="00293E95"/>
    <w:rsid w:val="002947D6"/>
    <w:rsid w:val="002959BC"/>
    <w:rsid w:val="002B1019"/>
    <w:rsid w:val="002B1157"/>
    <w:rsid w:val="002B3CC1"/>
    <w:rsid w:val="002B5AE9"/>
    <w:rsid w:val="002C2CF5"/>
    <w:rsid w:val="002C7844"/>
    <w:rsid w:val="002E14B9"/>
    <w:rsid w:val="002E25AE"/>
    <w:rsid w:val="002E59B0"/>
    <w:rsid w:val="002E7DE9"/>
    <w:rsid w:val="002F27A6"/>
    <w:rsid w:val="002F74D8"/>
    <w:rsid w:val="0031342A"/>
    <w:rsid w:val="00314BFD"/>
    <w:rsid w:val="0031585B"/>
    <w:rsid w:val="00321348"/>
    <w:rsid w:val="0032146E"/>
    <w:rsid w:val="00322F7D"/>
    <w:rsid w:val="00322FD0"/>
    <w:rsid w:val="00323245"/>
    <w:rsid w:val="003276F7"/>
    <w:rsid w:val="00330CBF"/>
    <w:rsid w:val="00342F1B"/>
    <w:rsid w:val="00345415"/>
    <w:rsid w:val="0035106F"/>
    <w:rsid w:val="003527E4"/>
    <w:rsid w:val="00353029"/>
    <w:rsid w:val="00353F02"/>
    <w:rsid w:val="003554F1"/>
    <w:rsid w:val="003572A6"/>
    <w:rsid w:val="00360464"/>
    <w:rsid w:val="00375B63"/>
    <w:rsid w:val="00377A96"/>
    <w:rsid w:val="00383165"/>
    <w:rsid w:val="003832B4"/>
    <w:rsid w:val="0038430C"/>
    <w:rsid w:val="00395673"/>
    <w:rsid w:val="00396F61"/>
    <w:rsid w:val="003A1BE1"/>
    <w:rsid w:val="003A5BBF"/>
    <w:rsid w:val="003A72FD"/>
    <w:rsid w:val="003B09B4"/>
    <w:rsid w:val="003B43BD"/>
    <w:rsid w:val="003B77A9"/>
    <w:rsid w:val="003C0E34"/>
    <w:rsid w:val="003C3C73"/>
    <w:rsid w:val="003D3F53"/>
    <w:rsid w:val="003E3172"/>
    <w:rsid w:val="003E7E6C"/>
    <w:rsid w:val="003F0024"/>
    <w:rsid w:val="003F5C06"/>
    <w:rsid w:val="003F7C5C"/>
    <w:rsid w:val="00404600"/>
    <w:rsid w:val="00406002"/>
    <w:rsid w:val="0041447A"/>
    <w:rsid w:val="00417F6F"/>
    <w:rsid w:val="004200AF"/>
    <w:rsid w:val="00422F98"/>
    <w:rsid w:val="00437D01"/>
    <w:rsid w:val="00442E55"/>
    <w:rsid w:val="00460369"/>
    <w:rsid w:val="0046106F"/>
    <w:rsid w:val="004650D6"/>
    <w:rsid w:val="00480687"/>
    <w:rsid w:val="00484034"/>
    <w:rsid w:val="0048564D"/>
    <w:rsid w:val="00491D8B"/>
    <w:rsid w:val="00496F3A"/>
    <w:rsid w:val="004B46BB"/>
    <w:rsid w:val="004C2CDC"/>
    <w:rsid w:val="004C49EF"/>
    <w:rsid w:val="004C74F0"/>
    <w:rsid w:val="004D046E"/>
    <w:rsid w:val="004D1CAA"/>
    <w:rsid w:val="004D3B07"/>
    <w:rsid w:val="004D7438"/>
    <w:rsid w:val="004E3EB4"/>
    <w:rsid w:val="004E573B"/>
    <w:rsid w:val="004F14AA"/>
    <w:rsid w:val="004F6299"/>
    <w:rsid w:val="005066EA"/>
    <w:rsid w:val="00511825"/>
    <w:rsid w:val="00525FAC"/>
    <w:rsid w:val="0054273A"/>
    <w:rsid w:val="00547141"/>
    <w:rsid w:val="0055459F"/>
    <w:rsid w:val="0055533C"/>
    <w:rsid w:val="0056198D"/>
    <w:rsid w:val="00563A49"/>
    <w:rsid w:val="0057427A"/>
    <w:rsid w:val="005756F5"/>
    <w:rsid w:val="005912CB"/>
    <w:rsid w:val="005917DB"/>
    <w:rsid w:val="00591BF1"/>
    <w:rsid w:val="0059542E"/>
    <w:rsid w:val="0059591E"/>
    <w:rsid w:val="005A6E99"/>
    <w:rsid w:val="005B0BFC"/>
    <w:rsid w:val="005B157D"/>
    <w:rsid w:val="005C0045"/>
    <w:rsid w:val="005D5AC6"/>
    <w:rsid w:val="005E468A"/>
    <w:rsid w:val="005E4AEA"/>
    <w:rsid w:val="005E61B1"/>
    <w:rsid w:val="005F3914"/>
    <w:rsid w:val="005F42FB"/>
    <w:rsid w:val="00602086"/>
    <w:rsid w:val="0060214F"/>
    <w:rsid w:val="00611CF8"/>
    <w:rsid w:val="00621E3C"/>
    <w:rsid w:val="00624035"/>
    <w:rsid w:val="00627C10"/>
    <w:rsid w:val="006410BA"/>
    <w:rsid w:val="006421B1"/>
    <w:rsid w:val="006436BC"/>
    <w:rsid w:val="00647855"/>
    <w:rsid w:val="00666523"/>
    <w:rsid w:val="00674532"/>
    <w:rsid w:val="00697325"/>
    <w:rsid w:val="006B0D6C"/>
    <w:rsid w:val="006B485B"/>
    <w:rsid w:val="006B6684"/>
    <w:rsid w:val="006C3BE9"/>
    <w:rsid w:val="006C6C51"/>
    <w:rsid w:val="006D18C8"/>
    <w:rsid w:val="006D274A"/>
    <w:rsid w:val="006D2E9A"/>
    <w:rsid w:val="006D78B6"/>
    <w:rsid w:val="006E1C71"/>
    <w:rsid w:val="006E242E"/>
    <w:rsid w:val="006F091E"/>
    <w:rsid w:val="006F36BD"/>
    <w:rsid w:val="00704EC9"/>
    <w:rsid w:val="00717713"/>
    <w:rsid w:val="007179FE"/>
    <w:rsid w:val="00724DF8"/>
    <w:rsid w:val="0073172B"/>
    <w:rsid w:val="00740164"/>
    <w:rsid w:val="0074575D"/>
    <w:rsid w:val="00745F4F"/>
    <w:rsid w:val="007465E5"/>
    <w:rsid w:val="0074725A"/>
    <w:rsid w:val="0074772D"/>
    <w:rsid w:val="00752B60"/>
    <w:rsid w:val="007533D8"/>
    <w:rsid w:val="007536FA"/>
    <w:rsid w:val="00753854"/>
    <w:rsid w:val="00754621"/>
    <w:rsid w:val="007624F6"/>
    <w:rsid w:val="00763FE9"/>
    <w:rsid w:val="00766A43"/>
    <w:rsid w:val="0078793F"/>
    <w:rsid w:val="00793460"/>
    <w:rsid w:val="007B124C"/>
    <w:rsid w:val="007B19FC"/>
    <w:rsid w:val="007C3CC2"/>
    <w:rsid w:val="007C5A25"/>
    <w:rsid w:val="007C7223"/>
    <w:rsid w:val="007D2D36"/>
    <w:rsid w:val="007D3151"/>
    <w:rsid w:val="007E035A"/>
    <w:rsid w:val="007E73C8"/>
    <w:rsid w:val="007F37B4"/>
    <w:rsid w:val="0080076E"/>
    <w:rsid w:val="00802F52"/>
    <w:rsid w:val="0080511B"/>
    <w:rsid w:val="00805431"/>
    <w:rsid w:val="0080580F"/>
    <w:rsid w:val="00806353"/>
    <w:rsid w:val="0083142E"/>
    <w:rsid w:val="00831F65"/>
    <w:rsid w:val="00832B3B"/>
    <w:rsid w:val="008431D7"/>
    <w:rsid w:val="00853196"/>
    <w:rsid w:val="00853E61"/>
    <w:rsid w:val="00855D93"/>
    <w:rsid w:val="00866659"/>
    <w:rsid w:val="00877F2C"/>
    <w:rsid w:val="00882F52"/>
    <w:rsid w:val="0088581D"/>
    <w:rsid w:val="00886ACD"/>
    <w:rsid w:val="008906E4"/>
    <w:rsid w:val="008C54BD"/>
    <w:rsid w:val="008D582E"/>
    <w:rsid w:val="008E09C8"/>
    <w:rsid w:val="008E18FB"/>
    <w:rsid w:val="008E3704"/>
    <w:rsid w:val="008E3CB3"/>
    <w:rsid w:val="008E559A"/>
    <w:rsid w:val="008F5462"/>
    <w:rsid w:val="00902AA0"/>
    <w:rsid w:val="00931721"/>
    <w:rsid w:val="00931EF6"/>
    <w:rsid w:val="00932904"/>
    <w:rsid w:val="009361FA"/>
    <w:rsid w:val="009527D3"/>
    <w:rsid w:val="00952956"/>
    <w:rsid w:val="00965722"/>
    <w:rsid w:val="00971E51"/>
    <w:rsid w:val="009741B2"/>
    <w:rsid w:val="00975ABA"/>
    <w:rsid w:val="00975EB7"/>
    <w:rsid w:val="0099671F"/>
    <w:rsid w:val="009A2742"/>
    <w:rsid w:val="009B2E75"/>
    <w:rsid w:val="009B42D8"/>
    <w:rsid w:val="009B606F"/>
    <w:rsid w:val="009C0242"/>
    <w:rsid w:val="009D02B2"/>
    <w:rsid w:val="009D4326"/>
    <w:rsid w:val="009D7DE9"/>
    <w:rsid w:val="009F0A59"/>
    <w:rsid w:val="009F626B"/>
    <w:rsid w:val="009F7D0F"/>
    <w:rsid w:val="009F7DDC"/>
    <w:rsid w:val="00A006C1"/>
    <w:rsid w:val="00A0786C"/>
    <w:rsid w:val="00A14F0E"/>
    <w:rsid w:val="00A1633A"/>
    <w:rsid w:val="00A16C87"/>
    <w:rsid w:val="00A20283"/>
    <w:rsid w:val="00A21FA1"/>
    <w:rsid w:val="00A33B15"/>
    <w:rsid w:val="00A34A0A"/>
    <w:rsid w:val="00A411E9"/>
    <w:rsid w:val="00A45C5E"/>
    <w:rsid w:val="00A52142"/>
    <w:rsid w:val="00A61A92"/>
    <w:rsid w:val="00A6695F"/>
    <w:rsid w:val="00A67092"/>
    <w:rsid w:val="00A67AE7"/>
    <w:rsid w:val="00A71989"/>
    <w:rsid w:val="00A73D15"/>
    <w:rsid w:val="00A80475"/>
    <w:rsid w:val="00AA1F3E"/>
    <w:rsid w:val="00AA763F"/>
    <w:rsid w:val="00AC4880"/>
    <w:rsid w:val="00AC651A"/>
    <w:rsid w:val="00AC7E1B"/>
    <w:rsid w:val="00AD463B"/>
    <w:rsid w:val="00AE08E8"/>
    <w:rsid w:val="00AE4491"/>
    <w:rsid w:val="00AE741C"/>
    <w:rsid w:val="00AF52C2"/>
    <w:rsid w:val="00B10763"/>
    <w:rsid w:val="00B224B1"/>
    <w:rsid w:val="00B33172"/>
    <w:rsid w:val="00B355AF"/>
    <w:rsid w:val="00B360E9"/>
    <w:rsid w:val="00B3751F"/>
    <w:rsid w:val="00B37526"/>
    <w:rsid w:val="00B42C8B"/>
    <w:rsid w:val="00B54313"/>
    <w:rsid w:val="00B56271"/>
    <w:rsid w:val="00B7244B"/>
    <w:rsid w:val="00B80357"/>
    <w:rsid w:val="00B870CF"/>
    <w:rsid w:val="00B9391D"/>
    <w:rsid w:val="00B971B2"/>
    <w:rsid w:val="00BA30B5"/>
    <w:rsid w:val="00BA6307"/>
    <w:rsid w:val="00BA6528"/>
    <w:rsid w:val="00BB002E"/>
    <w:rsid w:val="00BB215D"/>
    <w:rsid w:val="00BC3638"/>
    <w:rsid w:val="00BC3D7B"/>
    <w:rsid w:val="00BC681F"/>
    <w:rsid w:val="00BD2C0F"/>
    <w:rsid w:val="00BD7883"/>
    <w:rsid w:val="00BE16CB"/>
    <w:rsid w:val="00BE1B62"/>
    <w:rsid w:val="00BE2CDE"/>
    <w:rsid w:val="00BE4E28"/>
    <w:rsid w:val="00BE6EE4"/>
    <w:rsid w:val="00BF5C90"/>
    <w:rsid w:val="00C01DF5"/>
    <w:rsid w:val="00C02600"/>
    <w:rsid w:val="00C10212"/>
    <w:rsid w:val="00C151D8"/>
    <w:rsid w:val="00C22635"/>
    <w:rsid w:val="00C2779D"/>
    <w:rsid w:val="00C35059"/>
    <w:rsid w:val="00C37BA9"/>
    <w:rsid w:val="00C47744"/>
    <w:rsid w:val="00C508B4"/>
    <w:rsid w:val="00C53A12"/>
    <w:rsid w:val="00C53CD7"/>
    <w:rsid w:val="00C63802"/>
    <w:rsid w:val="00C676BB"/>
    <w:rsid w:val="00C67B6B"/>
    <w:rsid w:val="00C70A62"/>
    <w:rsid w:val="00C76089"/>
    <w:rsid w:val="00C76A90"/>
    <w:rsid w:val="00C90727"/>
    <w:rsid w:val="00C9258E"/>
    <w:rsid w:val="00C952FE"/>
    <w:rsid w:val="00CA2E5A"/>
    <w:rsid w:val="00CA49A8"/>
    <w:rsid w:val="00CA5DCF"/>
    <w:rsid w:val="00CA7B82"/>
    <w:rsid w:val="00CB3790"/>
    <w:rsid w:val="00CB671E"/>
    <w:rsid w:val="00CC5040"/>
    <w:rsid w:val="00CC6398"/>
    <w:rsid w:val="00CD2DE2"/>
    <w:rsid w:val="00CD78F1"/>
    <w:rsid w:val="00CE0CD5"/>
    <w:rsid w:val="00CF18BD"/>
    <w:rsid w:val="00CF1C3F"/>
    <w:rsid w:val="00CF2709"/>
    <w:rsid w:val="00CF33DE"/>
    <w:rsid w:val="00CF3909"/>
    <w:rsid w:val="00D20142"/>
    <w:rsid w:val="00D2298F"/>
    <w:rsid w:val="00D278F0"/>
    <w:rsid w:val="00D339D9"/>
    <w:rsid w:val="00D435BC"/>
    <w:rsid w:val="00D513AA"/>
    <w:rsid w:val="00D60D6C"/>
    <w:rsid w:val="00D67226"/>
    <w:rsid w:val="00D677B5"/>
    <w:rsid w:val="00D70A04"/>
    <w:rsid w:val="00D71BDF"/>
    <w:rsid w:val="00D73B15"/>
    <w:rsid w:val="00D73F50"/>
    <w:rsid w:val="00D7501F"/>
    <w:rsid w:val="00D81B19"/>
    <w:rsid w:val="00D82334"/>
    <w:rsid w:val="00D90210"/>
    <w:rsid w:val="00DA5189"/>
    <w:rsid w:val="00DA691E"/>
    <w:rsid w:val="00DB1C04"/>
    <w:rsid w:val="00DC0436"/>
    <w:rsid w:val="00DC244F"/>
    <w:rsid w:val="00DD5277"/>
    <w:rsid w:val="00DD634A"/>
    <w:rsid w:val="00DE055F"/>
    <w:rsid w:val="00DE2F89"/>
    <w:rsid w:val="00DE4493"/>
    <w:rsid w:val="00DE4A53"/>
    <w:rsid w:val="00DE4CD6"/>
    <w:rsid w:val="00E11D99"/>
    <w:rsid w:val="00E11FFB"/>
    <w:rsid w:val="00E1281C"/>
    <w:rsid w:val="00E21B5E"/>
    <w:rsid w:val="00E22BED"/>
    <w:rsid w:val="00E24260"/>
    <w:rsid w:val="00E46A4B"/>
    <w:rsid w:val="00E47970"/>
    <w:rsid w:val="00E54EBE"/>
    <w:rsid w:val="00E55D7F"/>
    <w:rsid w:val="00E5613A"/>
    <w:rsid w:val="00E67964"/>
    <w:rsid w:val="00E76E6B"/>
    <w:rsid w:val="00E944EF"/>
    <w:rsid w:val="00E9474C"/>
    <w:rsid w:val="00E97589"/>
    <w:rsid w:val="00EA008B"/>
    <w:rsid w:val="00EA5972"/>
    <w:rsid w:val="00EB1B28"/>
    <w:rsid w:val="00EC7EC6"/>
    <w:rsid w:val="00ED71C1"/>
    <w:rsid w:val="00EE2D3D"/>
    <w:rsid w:val="00EE2FA1"/>
    <w:rsid w:val="00EE4C79"/>
    <w:rsid w:val="00EF0145"/>
    <w:rsid w:val="00EF77FE"/>
    <w:rsid w:val="00F058E2"/>
    <w:rsid w:val="00F12905"/>
    <w:rsid w:val="00F15198"/>
    <w:rsid w:val="00F22E96"/>
    <w:rsid w:val="00F340EE"/>
    <w:rsid w:val="00F3480C"/>
    <w:rsid w:val="00F378E8"/>
    <w:rsid w:val="00F45857"/>
    <w:rsid w:val="00F47DEC"/>
    <w:rsid w:val="00F57533"/>
    <w:rsid w:val="00F579EF"/>
    <w:rsid w:val="00F644BC"/>
    <w:rsid w:val="00F66693"/>
    <w:rsid w:val="00F67C56"/>
    <w:rsid w:val="00F7532D"/>
    <w:rsid w:val="00F76273"/>
    <w:rsid w:val="00F836CC"/>
    <w:rsid w:val="00F862B6"/>
    <w:rsid w:val="00F93C1A"/>
    <w:rsid w:val="00FA1B50"/>
    <w:rsid w:val="00FA1DB8"/>
    <w:rsid w:val="00FB17F0"/>
    <w:rsid w:val="00FB3C4D"/>
    <w:rsid w:val="00FC6B5A"/>
    <w:rsid w:val="00FD3F92"/>
    <w:rsid w:val="00FE5D9A"/>
    <w:rsid w:val="00FE684E"/>
    <w:rsid w:val="00FF493F"/>
    <w:rsid w:val="00FF5FEB"/>
    <w:rsid w:val="00FF6E8F"/>
    <w:rsid w:val="44D1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仿宋" w:cstheme="minorBidi"/>
      <w:kern w:val="2"/>
      <w:sz w:val="32"/>
      <w:szCs w:val="30"/>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18"/>
    <w:unhideWhenUsed/>
    <w:uiPriority w:val="0"/>
    <w:rPr>
      <w:rFonts w:ascii="宋体" w:hAnsi="Courier New" w:eastAsia="宋体" w:cs="Courier New"/>
      <w:sz w:val="21"/>
      <w:szCs w:val="21"/>
    </w:r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9"/>
    <w:qFormat/>
    <w:uiPriority w:val="10"/>
    <w:pPr>
      <w:spacing w:before="240" w:after="60"/>
      <w:jc w:val="center"/>
      <w:outlineLvl w:val="0"/>
    </w:pPr>
    <w:rPr>
      <w:rFonts w:eastAsia="宋体" w:asciiTheme="majorHAnsi" w:hAnsiTheme="majorHAnsi" w:cstheme="majorBidi"/>
      <w:b/>
      <w:bCs/>
      <w:szCs w:val="32"/>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customStyle="1" w:styleId="13">
    <w:name w:val="页眉 Char"/>
    <w:basedOn w:val="11"/>
    <w:link w:val="5"/>
    <w:uiPriority w:val="99"/>
    <w:rPr>
      <w:sz w:val="18"/>
      <w:szCs w:val="18"/>
    </w:rPr>
  </w:style>
  <w:style w:type="character" w:customStyle="1" w:styleId="14">
    <w:name w:val="页脚 Char"/>
    <w:basedOn w:val="11"/>
    <w:link w:val="4"/>
    <w:uiPriority w:val="99"/>
    <w:rPr>
      <w:sz w:val="18"/>
      <w:szCs w:val="18"/>
    </w:rPr>
  </w:style>
  <w:style w:type="character" w:customStyle="1" w:styleId="15">
    <w:name w:val="批注框文本 Char"/>
    <w:basedOn w:val="11"/>
    <w:link w:val="3"/>
    <w:semiHidden/>
    <w:uiPriority w:val="99"/>
    <w:rPr>
      <w:sz w:val="18"/>
      <w:szCs w:val="18"/>
    </w:rPr>
  </w:style>
  <w:style w:type="character" w:customStyle="1" w:styleId="16">
    <w:name w:val="HTML 预设格式 Char"/>
    <w:basedOn w:val="11"/>
    <w:link w:val="6"/>
    <w:uiPriority w:val="0"/>
    <w:rPr>
      <w:rFonts w:ascii="黑体" w:hAnsi="Courier New" w:eastAsia="黑体" w:cs="Courier New"/>
      <w:kern w:val="0"/>
      <w:sz w:val="20"/>
      <w:szCs w:val="20"/>
    </w:rPr>
  </w:style>
  <w:style w:type="paragraph" w:styleId="17">
    <w:name w:val="List Paragraph"/>
    <w:basedOn w:val="1"/>
    <w:qFormat/>
    <w:uiPriority w:val="34"/>
    <w:pPr>
      <w:ind w:firstLine="420" w:firstLineChars="200"/>
    </w:pPr>
    <w:rPr>
      <w:rFonts w:ascii="Times New Roman" w:hAnsi="Times New Roman" w:eastAsia="宋体" w:cs="Times New Roman"/>
      <w:sz w:val="21"/>
      <w:szCs w:val="20"/>
    </w:rPr>
  </w:style>
  <w:style w:type="character" w:customStyle="1" w:styleId="18">
    <w:name w:val="纯文本 Char"/>
    <w:basedOn w:val="11"/>
    <w:link w:val="2"/>
    <w:uiPriority w:val="0"/>
    <w:rPr>
      <w:rFonts w:ascii="宋体" w:hAnsi="Courier New" w:eastAsia="宋体" w:cs="Courier New"/>
      <w:sz w:val="21"/>
      <w:szCs w:val="21"/>
    </w:rPr>
  </w:style>
  <w:style w:type="character" w:customStyle="1" w:styleId="19">
    <w:name w:val="标题 Char"/>
    <w:basedOn w:val="11"/>
    <w:link w:val="8"/>
    <w:qFormat/>
    <w:uiPriority w:val="10"/>
    <w:rPr>
      <w:rFonts w:eastAsia="宋体" w:asciiTheme="majorHAnsi" w:hAnsiTheme="majorHAnsi" w:cstheme="majorBidi"/>
      <w:b/>
      <w:bCs/>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4728B-254B-4091-9B3A-04CEF57B8C3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986</Words>
  <Characters>1095</Characters>
  <Lines>64</Lines>
  <Paragraphs>49</Paragraphs>
  <TotalTime>2</TotalTime>
  <ScaleCrop>false</ScaleCrop>
  <LinksUpToDate>false</LinksUpToDate>
  <CharactersWithSpaces>2032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2021-03-11T01:52:00Z</dcterms:created>
  <dc:creator>win7</dc:creator>
  <cp:lastModifiedBy>NMGZX</cp:lastModifiedBy>
  <cp:lastPrinted>2018-03-09T02:56:00Z</cp:lastPrinted>
  <dcterms:modified xsi:type="dcterms:W3CDTF">2021-03-12T09:14:17Z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